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Cambria" w:cs="Cambria" w:eastAsia="Cambria" w:hAnsi="Cambria"/>
          <w:color w:val="8eaadb"/>
          <w:sz w:val="36"/>
          <w:szCs w:val="36"/>
        </w:rPr>
      </w:pPr>
      <w:r w:rsidDel="00000000" w:rsidR="00000000" w:rsidRPr="00000000">
        <w:rPr>
          <w:rFonts w:ascii="Cambria" w:cs="Cambria" w:eastAsia="Cambria" w:hAnsi="Cambria"/>
          <w:color w:val="8eaadb"/>
          <w:sz w:val="36"/>
          <w:szCs w:val="36"/>
          <w:rtl w:val="0"/>
        </w:rPr>
        <w:t xml:space="preserve">Brandon JobNexus – Business Development Manager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Email: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brandonjobnexus@jobnexus.com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 Mobile: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+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555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XXXXXXXX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; Address: </w:t>
      </w: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Houston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LinkedIn: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www.linkedin.com/in/brandonjobnexus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Languages: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English / Malay / Mandarin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40" w:before="4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Target Positions: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Business Development Manager / Sales Director (Medical, Clinical or Pharmaceutical)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bottom w:color="000000" w:space="1" w:sz="12" w:val="single"/>
        </w:pBdr>
        <w:rPr>
          <w:rFonts w:ascii="Cambria" w:cs="Cambria" w:eastAsia="Cambria" w:hAnsi="Cambria"/>
          <w:b w:val="1"/>
          <w:color w:val="8eaadb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8eaadb"/>
          <w:sz w:val="28"/>
          <w:szCs w:val="28"/>
          <w:rtl w:val="0"/>
        </w:rPr>
        <w:t xml:space="preserve">Summary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Experienced</w:t>
      </w: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Business Development Manager 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with a proven ability to spearhead commercial successes and new business revenue within high-growth and established markets. Key strengths include: 15+ years of broad and deep experience spanning product management, sales management and strategic business development within the Medical, Pharmaceutical, Industrial and Technology industries; forging productive and amicable relationships with senior external stakeholders, defining core business requirements to underpin the delivery of bespoke solutions; combining a consultative sales approach with an innate flair for negotiation to agree favourable Ts&amp;Cs and profitable transactions; initiating and forging productive new territories to expand business sales portfolio within predefined commercial objectives; and training and leading teams of highly skilled sales staff to create fulfilled workforces and sustainable ROI.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bottom w:color="000000" w:space="1" w:sz="12" w:val="single"/>
        </w:pBdr>
        <w:rPr>
          <w:rFonts w:ascii="Cambria" w:cs="Cambria" w:eastAsia="Cambria" w:hAnsi="Cambria"/>
          <w:b w:val="1"/>
          <w:color w:val="8eaadb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8eaadb"/>
          <w:sz w:val="28"/>
          <w:szCs w:val="28"/>
          <w:rtl w:val="0"/>
        </w:rPr>
        <w:t xml:space="preserve">Key Skills</w:t>
      </w:r>
    </w:p>
    <w:tbl>
      <w:tblPr>
        <w:tblStyle w:val="Table1"/>
        <w:tblW w:w="9835.0" w:type="dxa"/>
        <w:jc w:val="left"/>
        <w:tblInd w:w="360.0" w:type="dxa"/>
        <w:tblLayout w:type="fixed"/>
        <w:tblLook w:val="0400"/>
      </w:tblPr>
      <w:tblGrid>
        <w:gridCol w:w="4917"/>
        <w:gridCol w:w="4918"/>
        <w:tblGridChange w:id="0">
          <w:tblGrid>
            <w:gridCol w:w="4917"/>
            <w:gridCol w:w="4918"/>
          </w:tblGrid>
        </w:tblGridChange>
      </w:tblGrid>
      <w:tr>
        <w:tc>
          <w:tcPr>
            <w:shd w:fill="auto" w:val="clear"/>
          </w:tcPr>
          <w:p w:rsidR="00000000" w:rsidDel="00000000" w:rsidP="00000000" w:rsidRDefault="00000000" w:rsidRPr="00000000" w14:paraId="0000000B">
            <w:pPr>
              <w:numPr>
                <w:ilvl w:val="0"/>
                <w:numId w:val="2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Sales Planning &amp; Strategy</w:t>
            </w:r>
          </w:p>
          <w:p w:rsidR="00000000" w:rsidDel="00000000" w:rsidP="00000000" w:rsidRDefault="00000000" w:rsidRPr="00000000" w14:paraId="0000000C">
            <w:pPr>
              <w:numPr>
                <w:ilvl w:val="0"/>
                <w:numId w:val="2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Sales Team Management &amp; Monitoring</w:t>
            </w:r>
          </w:p>
          <w:p w:rsidR="00000000" w:rsidDel="00000000" w:rsidP="00000000" w:rsidRDefault="00000000" w:rsidRPr="00000000" w14:paraId="0000000D">
            <w:pPr>
              <w:numPr>
                <w:ilvl w:val="0"/>
                <w:numId w:val="2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KPI Definition</w:t>
            </w:r>
          </w:p>
          <w:p w:rsidR="00000000" w:rsidDel="00000000" w:rsidP="00000000" w:rsidRDefault="00000000" w:rsidRPr="00000000" w14:paraId="0000000E">
            <w:pPr>
              <w:numPr>
                <w:ilvl w:val="0"/>
                <w:numId w:val="2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New Business Development</w:t>
            </w:r>
          </w:p>
          <w:p w:rsidR="00000000" w:rsidDel="00000000" w:rsidP="00000000" w:rsidRDefault="00000000" w:rsidRPr="00000000" w14:paraId="0000000F">
            <w:pPr>
              <w:numPr>
                <w:ilvl w:val="0"/>
                <w:numId w:val="2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Strategic Sourcing</w:t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2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Product Launches</w:t>
            </w:r>
          </w:p>
          <w:p w:rsidR="00000000" w:rsidDel="00000000" w:rsidP="00000000" w:rsidRDefault="00000000" w:rsidRPr="00000000" w14:paraId="00000011">
            <w:pPr>
              <w:numPr>
                <w:ilvl w:val="0"/>
                <w:numId w:val="2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Process Optimisation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2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Lean Six Sigma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3">
            <w:pPr>
              <w:numPr>
                <w:ilvl w:val="0"/>
                <w:numId w:val="3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Best Practice Introduction</w:t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3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Performance Reporting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3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Stakeholder Management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3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Account Management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3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Market &amp; Trend Analysis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3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Project Management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3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Cost &amp; Budget Analysis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3"/>
              </w:numPr>
              <w:spacing w:after="20" w:before="20" w:line="240" w:lineRule="auto"/>
              <w:ind w:left="360" w:hanging="360"/>
              <w:rPr>
                <w:rFonts w:ascii="Cambria" w:cs="Cambria" w:eastAsia="Cambria" w:hAnsi="Cambria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Contract Negotiation</w:t>
            </w:r>
          </w:p>
        </w:tc>
      </w:tr>
    </w:tbl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bottom w:color="000000" w:space="1" w:sz="12" w:val="single"/>
        </w:pBdr>
        <w:rPr>
          <w:rFonts w:ascii="Cambria" w:cs="Cambria" w:eastAsia="Cambria" w:hAnsi="Cambria"/>
          <w:b w:val="1"/>
          <w:color w:val="8eaadb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8eaadb"/>
          <w:sz w:val="28"/>
          <w:szCs w:val="28"/>
          <w:rtl w:val="0"/>
        </w:rPr>
        <w:t xml:space="preserve">Career History</w:t>
      </w:r>
    </w:p>
    <w:p w:rsidR="00000000" w:rsidDel="00000000" w:rsidP="00000000" w:rsidRDefault="00000000" w:rsidRPr="00000000" w14:paraId="0000001D">
      <w:pPr>
        <w:spacing w:after="40" w:line="240" w:lineRule="auto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August 2019 to Present: ITS Group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 Business Development Manager</w:t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Cambria" w:cs="Cambria" w:eastAsia="Cambria" w:hAnsi="Cambria"/>
          <w:color w:val="808080"/>
        </w:rPr>
      </w:pPr>
      <w:r w:rsidDel="00000000" w:rsidR="00000000" w:rsidRPr="00000000">
        <w:rPr>
          <w:rFonts w:ascii="Cambria" w:cs="Cambria" w:eastAsia="Cambria" w:hAnsi="Cambria"/>
          <w:color w:val="808080"/>
          <w:rtl w:val="0"/>
        </w:rPr>
        <w:t xml:space="preserve">ITS (US$100m) is a leading provider of medical, analytical and biotechnology equipment and solutions.</w:t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Cambria" w:cs="Cambria" w:eastAsia="Cambria" w:hAnsi="Cambria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Appointed to manage Country Managers, covering lead generation, marketing, sales development and account management of the B2B, engineering, high-end equipment and solutions.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Report to the core leadership team with responsibility for driving sales revenue, profitability and performance across countries, platforms and portfolios.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Promote biotechnology, medical, clinical/analytical instruments and engineering product solutions.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Introduce and implement lead generation solutions and best practice to increase accounts pipeline.</w:t>
      </w:r>
    </w:p>
    <w:p w:rsidR="00000000" w:rsidDel="00000000" w:rsidP="00000000" w:rsidRDefault="00000000" w:rsidRPr="00000000" w14:paraId="00000025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Spearhead growth by expanding the portfolio and penetrating new customer accounts and markets.</w:t>
      </w:r>
    </w:p>
    <w:p w:rsidR="00000000" w:rsidDel="00000000" w:rsidP="00000000" w:rsidRDefault="00000000" w:rsidRPr="00000000" w14:paraId="00000026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Establish effective marketing and sales tools to increase team conversion rates.</w:t>
      </w:r>
    </w:p>
    <w:p w:rsidR="00000000" w:rsidDel="00000000" w:rsidP="00000000" w:rsidRDefault="00000000" w:rsidRPr="00000000" w14:paraId="00000027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Manage and determine strategic account tactics to develop existing customer accounts.</w:t>
      </w:r>
    </w:p>
    <w:p w:rsidR="00000000" w:rsidDel="00000000" w:rsidP="00000000" w:rsidRDefault="00000000" w:rsidRPr="00000000" w14:paraId="00000028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Identify and remediate business gaps to improve sales performance and overall business efficiency. </w:t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after="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Key Projects &amp; Achievements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Initiated and established a regional pharmaceutical projects business area, generating US$20M in new business revenue from projects captured within the first 2 years.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Provided leadership and guidance to country teams to connect with key customer stakeholders, with a focus on advancing business growth strategies and opening up opportunities with key accounts.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after="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Delivered numerous projects: MSD STI system supply and integration; design, construction and equipment supply.</w:t>
      </w:r>
    </w:p>
    <w:p w:rsidR="00000000" w:rsidDel="00000000" w:rsidP="00000000" w:rsidRDefault="00000000" w:rsidRPr="00000000" w14:paraId="0000002E">
      <w:pPr>
        <w:spacing w:after="0" w:line="240" w:lineRule="auto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after="40" w:line="240" w:lineRule="auto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December 2015 to July 2019: Watlow </w:t>
      </w: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Houston</w:t>
      </w: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: Regional Sales Manager</w:t>
      </w:r>
    </w:p>
    <w:p w:rsidR="00000000" w:rsidDel="00000000" w:rsidP="00000000" w:rsidRDefault="00000000" w:rsidRPr="00000000" w14:paraId="00000030">
      <w:pPr>
        <w:spacing w:after="0"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Cambria" w:cs="Cambria" w:eastAsia="Cambria" w:hAnsi="Cambria"/>
          <w:color w:val="808080"/>
        </w:rPr>
      </w:pPr>
      <w:r w:rsidDel="00000000" w:rsidR="00000000" w:rsidRPr="00000000">
        <w:rPr>
          <w:rFonts w:ascii="Cambria" w:cs="Cambria" w:eastAsia="Cambria" w:hAnsi="Cambria"/>
          <w:color w:val="808080"/>
          <w:rtl w:val="0"/>
        </w:rPr>
        <w:t xml:space="preserve">Watlow is a global manufacturer of industrial heaters, sensors, controllers and thermal solutions.</w:t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Cambria" w:cs="Cambria" w:eastAsia="Cambria" w:hAnsi="Cambria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Forge sales opportunities and strategies in new and emerging markets.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Promoted thermal components, sensors, controllers, software and integrated systems.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Fostered strong relationships and generated business opportunities with the Consumer, Enterprise, Life Science, Food Serve, Oil &amp; Gas, Semiconductor and Electronics markets.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Coordinated and led product demonstrations, seminars and business meetings with decision makers.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Deployed sales funnel management techniques and monitor and report on sales performance matrix.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Analysed competitor offerings and developed counter strategies to increase market share.</w:t>
      </w:r>
    </w:p>
    <w:p w:rsidR="00000000" w:rsidDel="00000000" w:rsidP="00000000" w:rsidRDefault="00000000" w:rsidRPr="00000000" w14:paraId="00000039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Key contributor to product development and application strategies by providing a deep understanding of different markets.</w:t>
      </w:r>
    </w:p>
    <w:p w:rsidR="00000000" w:rsidDel="00000000" w:rsidP="00000000" w:rsidRDefault="00000000" w:rsidRPr="00000000" w14:paraId="0000003A">
      <w:pPr>
        <w:spacing w:after="0"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Key Projects &amp; Achievements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57" w:right="0" w:hanging="357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Developed new sales opportunities, generated funnel and delivered a strong conversion rate leading to US$6M in individual new business revenue and total team contribution of US$14M. 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Developed several new and highly profitable customer accounts including AEM Semiconductor, Baxter Healthcare, ThermoFisher, Rolls-Royce and Agilent Technologies.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Received the Watlow ‘Top Sales Award’ in 2019 for winning cartridge heater sales for AEM-Intel project. </w:t>
      </w:r>
    </w:p>
    <w:p w:rsidR="00000000" w:rsidDel="00000000" w:rsidP="00000000" w:rsidRDefault="00000000" w:rsidRPr="00000000" w14:paraId="0000003F">
      <w:pPr>
        <w:spacing w:after="0" w:line="240" w:lineRule="auto"/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40" w:line="240" w:lineRule="auto"/>
        <w:rPr>
          <w:rFonts w:ascii="Cambria" w:cs="Cambria" w:eastAsia="Cambria" w:hAnsi="Cambria"/>
          <w:b w:val="1"/>
          <w:color w:val="000000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color w:val="000000"/>
          <w:sz w:val="24"/>
          <w:szCs w:val="24"/>
          <w:rtl w:val="0"/>
        </w:rPr>
        <w:t xml:space="preserve">January 2010 to November 2015: ITS Science &amp; Medical: Sales Division Manager</w:t>
      </w:r>
    </w:p>
    <w:p w:rsidR="00000000" w:rsidDel="00000000" w:rsidP="00000000" w:rsidRDefault="00000000" w:rsidRPr="00000000" w14:paraId="00000041">
      <w:pPr>
        <w:spacing w:after="0"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Cambria" w:cs="Cambria" w:eastAsia="Cambria" w:hAnsi="Cambria"/>
          <w:color w:val="808080"/>
        </w:rPr>
      </w:pPr>
      <w:r w:rsidDel="00000000" w:rsidR="00000000" w:rsidRPr="00000000">
        <w:rPr>
          <w:rFonts w:ascii="Cambria" w:cs="Cambria" w:eastAsia="Cambria" w:hAnsi="Cambria"/>
          <w:color w:val="808080"/>
          <w:rtl w:val="0"/>
        </w:rPr>
        <w:t xml:space="preserve">ITS Science &amp; Medical is a core division of the ITS Group, providing scientific and medical equipment.</w:t>
      </w:r>
    </w:p>
    <w:p w:rsidR="00000000" w:rsidDel="00000000" w:rsidP="00000000" w:rsidRDefault="00000000" w:rsidRPr="00000000" w14:paraId="00000043">
      <w:pPr>
        <w:spacing w:after="0" w:line="240" w:lineRule="auto"/>
        <w:rPr>
          <w:rFonts w:ascii="Cambria" w:cs="Cambria" w:eastAsia="Cambria" w:hAnsi="Cambria"/>
          <w:sz w:val="8"/>
          <w:szCs w:val="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Led 7 Product Marketing, Sales, and Project Managers for lead generation, launch, promotion and sales of high-value engineering equipment and solutions.</w:t>
      </w:r>
    </w:p>
    <w:p w:rsidR="00000000" w:rsidDel="00000000" w:rsidP="00000000" w:rsidRDefault="00000000" w:rsidRPr="00000000" w14:paraId="00000045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Promoted Prefabricated Modular Operating Theatre (MOT), Surgical Operating Tables including Orthopedic Tables (Trumpf &amp; Steris), Blood Pressure Monitoring System, Anaesthesia Machine, Surgical Light (Trumpf &amp; Steris), OT A/V Integration Systems, and CSSD Equipment (Sterilizers and Washers).</w:t>
      </w:r>
    </w:p>
    <w:p w:rsidR="00000000" w:rsidDel="00000000" w:rsidP="00000000" w:rsidRDefault="00000000" w:rsidRPr="00000000" w14:paraId="00000046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Collaborated with senior internal stakeholders to understand core growth objectives.</w:t>
      </w:r>
    </w:p>
    <w:p w:rsidR="00000000" w:rsidDel="00000000" w:rsidP="00000000" w:rsidRDefault="00000000" w:rsidRPr="00000000" w14:paraId="00000047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Developed a divisional strategy to drive demand with American/European Principals and conceptualized innovative marketing collateral to achieve division sales targets.</w:t>
      </w:r>
    </w:p>
    <w:p w:rsidR="00000000" w:rsidDel="00000000" w:rsidP="00000000" w:rsidRDefault="00000000" w:rsidRPr="00000000" w14:paraId="00000048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Analysed current trends and market demand, translated marketing requirements into product and service offerings and resolved clients/business partner issues.</w:t>
      </w:r>
    </w:p>
    <w:p w:rsidR="00000000" w:rsidDel="00000000" w:rsidP="00000000" w:rsidRDefault="00000000" w:rsidRPr="00000000" w14:paraId="00000049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Trained and mentored teams, and instilled a high-performance culture within the division.</w:t>
      </w:r>
    </w:p>
    <w:p w:rsidR="00000000" w:rsidDel="00000000" w:rsidP="00000000" w:rsidRDefault="00000000" w:rsidRPr="00000000" w14:paraId="0000004A">
      <w:pPr>
        <w:spacing w:after="0" w:line="240" w:lineRule="auto"/>
        <w:rPr>
          <w:rFonts w:ascii="Cambria" w:cs="Cambria" w:eastAsia="Cambria" w:hAnsi="Cambria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after="40" w:line="240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Key Projects &amp; Achievements</w:t>
      </w:r>
    </w:p>
    <w:p w:rsidR="00000000" w:rsidDel="00000000" w:rsidP="00000000" w:rsidRDefault="00000000" w:rsidRPr="00000000" w14:paraId="0000004C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Spearheaded 150% growth (2014) in the projects division by identifying and developing new product agencies and initiating business expansion into hospitals.</w:t>
      </w:r>
    </w:p>
    <w:p w:rsidR="00000000" w:rsidDel="00000000" w:rsidP="00000000" w:rsidRDefault="00000000" w:rsidRPr="00000000" w14:paraId="0000004D">
      <w:pPr>
        <w:numPr>
          <w:ilvl w:val="0"/>
          <w:numId w:val="4"/>
        </w:numPr>
        <w:spacing w:after="40" w:line="240" w:lineRule="auto"/>
        <w:ind w:left="36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Secured S$10 million from Ng Teng Fong General Hospital for sales of MOT and Operating Tables, recording a 145% growth in yearly sales revenue.</w:t>
      </w:r>
    </w:p>
    <w:p w:rsidR="00000000" w:rsidDel="00000000" w:rsidP="00000000" w:rsidRDefault="00000000" w:rsidRPr="00000000" w14:paraId="0000004E">
      <w:pPr>
        <w:spacing w:after="0" w:line="240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bottom w:color="000000" w:space="1" w:sz="12" w:val="single"/>
        </w:pBdr>
        <w:rPr>
          <w:rFonts w:ascii="Cambria" w:cs="Cambria" w:eastAsia="Cambria" w:hAnsi="Cambria"/>
          <w:b w:val="1"/>
          <w:color w:val="8eaadb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8eaadb"/>
          <w:sz w:val="28"/>
          <w:szCs w:val="28"/>
          <w:rtl w:val="0"/>
        </w:rPr>
        <w:t xml:space="preserve">Additional Roles</w:t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after="40" w:before="40" w:line="240" w:lineRule="auto"/>
        <w:ind w:left="357" w:hanging="357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Fonts w:ascii="Cambria" w:cs="Cambria" w:eastAsia="Cambria" w:hAnsi="Cambria"/>
          <w:color w:val="000000"/>
          <w:rtl w:val="0"/>
        </w:rPr>
        <w:t xml:space="preserve">06/2004 to 01/2010: Hewlett-Packard: Senior NPI Engineer</w:t>
      </w:r>
    </w:p>
    <w:p w:rsidR="00000000" w:rsidDel="00000000" w:rsidP="00000000" w:rsidRDefault="00000000" w:rsidRPr="00000000" w14:paraId="00000051">
      <w:pPr>
        <w:spacing w:after="0" w:line="240" w:lineRule="auto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Bdr>
          <w:bottom w:color="000000" w:space="1" w:sz="12" w:val="single"/>
        </w:pBdr>
        <w:rPr>
          <w:rFonts w:ascii="Cambria" w:cs="Cambria" w:eastAsia="Cambria" w:hAnsi="Cambria"/>
          <w:b w:val="1"/>
          <w:color w:val="8eaadb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color w:val="8eaadb"/>
          <w:sz w:val="28"/>
          <w:szCs w:val="28"/>
          <w:rtl w:val="0"/>
        </w:rPr>
        <w:t xml:space="preserve">Education &amp; Certification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after="0" w:before="40" w:line="240" w:lineRule="auto"/>
        <w:ind w:left="357" w:hanging="357"/>
        <w:rPr>
          <w:rFonts w:ascii="Cambria" w:cs="Cambria" w:eastAsia="Cambria" w:hAnsi="Cambria"/>
          <w:b w:val="0"/>
        </w:rPr>
      </w:pPr>
      <w:r w:rsidDel="00000000" w:rsidR="00000000" w:rsidRPr="00000000">
        <w:rPr>
          <w:rFonts w:ascii="Cambria" w:cs="Cambria" w:eastAsia="Cambria" w:hAnsi="Cambria"/>
          <w:b w:val="0"/>
          <w:rtl w:val="0"/>
        </w:rPr>
        <w:t xml:space="preserve">Master of Science (M.Sc.) in Management of Technology: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Houston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after="0" w:before="40" w:line="240" w:lineRule="auto"/>
        <w:ind w:left="357" w:hanging="357"/>
        <w:rPr>
          <w:rFonts w:ascii="Cambria" w:cs="Cambria" w:eastAsia="Cambria" w:hAnsi="Cambria"/>
          <w:b w:val="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Bachelor of Engineering (B.E.) in Mechanical Engineering</w:t>
      </w:r>
      <w:r w:rsidDel="00000000" w:rsidR="00000000" w:rsidRPr="00000000">
        <w:rPr>
          <w:rFonts w:ascii="Cambria" w:cs="Cambria" w:eastAsia="Cambria" w:hAnsi="Cambria"/>
          <w:b w:val="0"/>
          <w:rtl w:val="0"/>
        </w:rPr>
        <w:t xml:space="preserve">: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Houston University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after="0" w:before="40" w:line="240" w:lineRule="auto"/>
        <w:ind w:left="357" w:hanging="357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0"/>
          <w:rtl w:val="0"/>
        </w:rPr>
        <w:t xml:space="preserve">Lead ISO Auditor Certification</w:t>
      </w:r>
      <w:r w:rsidDel="00000000" w:rsidR="00000000" w:rsidRPr="00000000">
        <w:rPr>
          <w:rtl w:val="0"/>
        </w:rPr>
      </w:r>
    </w:p>
    <w:sectPr>
      <w:pgSz w:h="16838" w:w="11906" w:orient="portrait"/>
      <w:pgMar w:bottom="720" w:top="720" w:left="720" w:right="99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ambr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A554B4"/>
    <w:pPr>
      <w:spacing w:after="200" w:line="276" w:lineRule="auto"/>
    </w:pPr>
    <w:rPr>
      <w:rFonts w:cs="Times New Roman"/>
      <w:sz w:val="22"/>
      <w:szCs w:val="22"/>
      <w:lang w:eastAsia="zh-CN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Strong">
    <w:name w:val="Strong"/>
    <w:uiPriority w:val="99"/>
    <w:qFormat w:val="1"/>
    <w:rsid w:val="00837FD0"/>
    <w:rPr>
      <w:rFonts w:cs="Times New Roman"/>
      <w:b w:val="1"/>
      <w:bCs w:val="1"/>
    </w:rPr>
  </w:style>
  <w:style w:type="paragraph" w:styleId="Address" w:customStyle="1">
    <w:name w:val="Address"/>
    <w:basedOn w:val="Normal"/>
    <w:uiPriority w:val="99"/>
    <w:rsid w:val="00837FD0"/>
    <w:pPr>
      <w:spacing w:after="0" w:line="240" w:lineRule="auto"/>
      <w:ind w:left="360"/>
    </w:pPr>
    <w:rPr>
      <w:rFonts w:cs="Courier New"/>
      <w:bCs w:val="1"/>
      <w:szCs w:val="19"/>
      <w:lang w:val="en-US"/>
    </w:rPr>
  </w:style>
  <w:style w:type="paragraph" w:styleId="NoSpacing">
    <w:name w:val="No Spacing"/>
    <w:uiPriority w:val="99"/>
    <w:qFormat w:val="1"/>
    <w:rsid w:val="00837FD0"/>
    <w:rPr>
      <w:rFonts w:cs="Arial"/>
      <w:sz w:val="22"/>
      <w:szCs w:val="22"/>
      <w:lang w:eastAsia="zh-CN"/>
    </w:rPr>
  </w:style>
  <w:style w:type="paragraph" w:styleId="PlainText">
    <w:name w:val="Plain Text"/>
    <w:basedOn w:val="Normal"/>
    <w:link w:val="PlainTextChar"/>
    <w:uiPriority w:val="99"/>
    <w:rsid w:val="00837FD0"/>
    <w:pPr>
      <w:spacing w:after="0" w:line="240" w:lineRule="auto"/>
    </w:pPr>
    <w:rPr>
      <w:rFonts w:ascii="Courier New" w:cs="Courier New" w:hAnsi="Courier New"/>
      <w:sz w:val="20"/>
      <w:szCs w:val="20"/>
      <w:lang w:val="en-US"/>
    </w:rPr>
  </w:style>
  <w:style w:type="character" w:styleId="PlainTextChar" w:customStyle="1">
    <w:name w:val="Plain Text Char"/>
    <w:link w:val="PlainText"/>
    <w:uiPriority w:val="99"/>
    <w:locked w:val="1"/>
    <w:rsid w:val="00837FD0"/>
    <w:rPr>
      <w:rFonts w:ascii="Courier New" w:cs="Courier New" w:hAnsi="Courier New"/>
      <w:sz w:val="20"/>
      <w:szCs w:val="20"/>
      <w:lang w:eastAsia="x-none" w:val="en-US"/>
    </w:rPr>
  </w:style>
  <w:style w:type="paragraph" w:styleId="Location" w:customStyle="1">
    <w:name w:val="Location"/>
    <w:basedOn w:val="PlainText"/>
    <w:next w:val="PlainText"/>
    <w:uiPriority w:val="99"/>
    <w:rsid w:val="00837FD0"/>
    <w:pPr>
      <w:ind w:left="360"/>
    </w:pPr>
    <w:rPr>
      <w:rFonts w:ascii="Calibri" w:hAnsi="Calibri"/>
      <w:sz w:val="22"/>
    </w:rPr>
  </w:style>
  <w:style w:type="paragraph" w:styleId="OrganizationName" w:customStyle="1">
    <w:name w:val="Organization Name"/>
    <w:basedOn w:val="Location"/>
    <w:uiPriority w:val="99"/>
    <w:rsid w:val="00837FD0"/>
    <w:pPr>
      <w:spacing w:before="120"/>
    </w:pPr>
  </w:style>
  <w:style w:type="paragraph" w:styleId="BulletPoints" w:customStyle="1">
    <w:name w:val="Bullet Points"/>
    <w:basedOn w:val="Normal"/>
    <w:uiPriority w:val="99"/>
    <w:rsid w:val="00837FD0"/>
    <w:pPr>
      <w:numPr>
        <w:numId w:val="1"/>
      </w:numPr>
      <w:spacing w:after="0" w:before="120" w:line="240" w:lineRule="auto"/>
    </w:pPr>
    <w:rPr>
      <w:szCs w:val="20"/>
      <w:lang w:val="en-US"/>
    </w:rPr>
  </w:style>
  <w:style w:type="paragraph" w:styleId="ListParagraph">
    <w:name w:val="List Paragraph"/>
    <w:basedOn w:val="Normal"/>
    <w:qFormat w:val="1"/>
    <w:rsid w:val="00837FD0"/>
    <w:pPr>
      <w:ind w:left="720"/>
      <w:contextualSpacing w:val="1"/>
    </w:pPr>
  </w:style>
  <w:style w:type="paragraph" w:styleId="Date">
    <w:name w:val="Date"/>
    <w:basedOn w:val="Normal"/>
    <w:next w:val="Normal"/>
    <w:link w:val="DateChar"/>
    <w:uiPriority w:val="99"/>
    <w:semiHidden w:val="1"/>
    <w:rsid w:val="0013057D"/>
  </w:style>
  <w:style w:type="character" w:styleId="DateChar" w:customStyle="1">
    <w:name w:val="Date Char"/>
    <w:link w:val="Date"/>
    <w:uiPriority w:val="99"/>
    <w:semiHidden w:val="1"/>
    <w:locked w:val="1"/>
    <w:rsid w:val="0013057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 w:val="1"/>
    <w:rsid w:val="00F138DA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link w:val="BalloonText"/>
    <w:uiPriority w:val="99"/>
    <w:semiHidden w:val="1"/>
    <w:locked w:val="1"/>
    <w:rsid w:val="00F138DA"/>
    <w:rPr>
      <w:rFonts w:ascii="Tahoma" w:cs="Tahoma" w:hAnsi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E70BC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link w:val="Header"/>
    <w:uiPriority w:val="99"/>
    <w:locked w:val="1"/>
    <w:rsid w:val="00E70BC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70BC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link w:val="Footer"/>
    <w:uiPriority w:val="99"/>
    <w:locked w:val="1"/>
    <w:rsid w:val="00E70BC8"/>
    <w:rPr>
      <w:rFonts w:cs="Times New Roman"/>
    </w:rPr>
  </w:style>
  <w:style w:type="character" w:styleId="Hyperlink">
    <w:name w:val="Hyperlink"/>
    <w:uiPriority w:val="99"/>
    <w:rsid w:val="009509BE"/>
    <w:rPr>
      <w:rFonts w:cs="Times New Roman"/>
      <w:color w:val="0000ff"/>
      <w:u w:val="single"/>
    </w:rPr>
  </w:style>
  <w:style w:type="table" w:styleId="TableGrid">
    <w:name w:val="Table Grid"/>
    <w:basedOn w:val="TableNormal"/>
    <w:locked w:val="1"/>
    <w:rsid w:val="00FA095E"/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UnresolvedMention" w:customStyle="1">
    <w:name w:val="Unresolved Mention"/>
    <w:basedOn w:val="DefaultParagraphFont"/>
    <w:uiPriority w:val="99"/>
    <w:semiHidden w:val="1"/>
    <w:unhideWhenUsed w:val="1"/>
    <w:rsid w:val="00AB6490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cDJ0iVn73I/UOKOy7+YDbuqdpw==">AMUW2mWh/0DKeJoBfUX7yiZ4OQzxKbWnBvKqVeOAINgfnkJ8dCi9IR7l0N/8fajXjA0m+grhAPOLnBSbY0gtxR7iiB5lFw+t54LBNhzMEpAB8jqYjcQ1udr35E3QhVAKUPfE84Qe2Gy7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2021-02-09T11:36:00Z</dcterms:created>
</cp:coreProperties>
</file>